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B7A" w:rsidRDefault="00646B7A" w:rsidP="00646B7A">
      <w:pPr>
        <w:spacing w:before="222"/>
        <w:rPr>
          <w:b/>
          <w:sz w:val="24"/>
        </w:rPr>
      </w:pPr>
      <w:r>
        <w:rPr>
          <w:rFonts w:asciiTheme="majorHAnsi" w:eastAsiaTheme="majorEastAsia" w:hAnsiTheme="majorHAnsi" w:cstheme="majorBidi"/>
          <w:color w:val="2E74B5" w:themeColor="accent1" w:themeShade="BF"/>
          <w:w w:val="105"/>
          <w:sz w:val="32"/>
          <w:szCs w:val="32"/>
        </w:rPr>
        <w:t>Handout 5</w:t>
      </w:r>
      <w:r>
        <w:rPr>
          <w:b/>
          <w:sz w:val="24"/>
        </w:rPr>
        <w:t xml:space="preserve"> </w:t>
      </w:r>
    </w:p>
    <w:p w:rsidR="00E1360B" w:rsidRPr="00646B7A" w:rsidRDefault="00E1360B" w:rsidP="00646B7A">
      <w:pPr>
        <w:widowControl w:val="0"/>
        <w:autoSpaceDE w:val="0"/>
        <w:autoSpaceDN w:val="0"/>
        <w:spacing w:before="130" w:after="0" w:line="240" w:lineRule="auto"/>
        <w:rPr>
          <w:rFonts w:eastAsia="Arial" w:cstheme="minorHAnsi"/>
          <w:b/>
          <w:w w:val="105"/>
          <w:sz w:val="40"/>
          <w:szCs w:val="40"/>
          <w:lang w:bidi="en-US"/>
        </w:rPr>
      </w:pPr>
      <w:r w:rsidRPr="00646B7A">
        <w:rPr>
          <w:rFonts w:eastAsia="Arial" w:cstheme="minorHAnsi"/>
          <w:b/>
          <w:w w:val="105"/>
          <w:sz w:val="40"/>
          <w:szCs w:val="40"/>
          <w:lang w:bidi="en-US"/>
        </w:rPr>
        <w:t>Race and Ethnicity Equality Fact Sheet</w:t>
      </w:r>
      <w:r w:rsidR="00646B7A" w:rsidRPr="00646B7A">
        <w:rPr>
          <w:rFonts w:eastAsia="Arial" w:cstheme="minorHAnsi"/>
          <w:b/>
          <w:w w:val="105"/>
          <w:sz w:val="40"/>
          <w:szCs w:val="40"/>
          <w:vertAlign w:val="superscript"/>
          <w:lang w:bidi="en-US"/>
        </w:rPr>
        <w:footnoteReference w:id="1"/>
      </w:r>
    </w:p>
    <w:p w:rsidR="00E1360B" w:rsidRPr="00646B7A" w:rsidRDefault="00E1360B" w:rsidP="00646B7A">
      <w:pPr>
        <w:pStyle w:val="BodyText"/>
        <w:spacing w:before="239" w:line="271" w:lineRule="auto"/>
        <w:ind w:right="501"/>
        <w:jc w:val="both"/>
        <w:rPr>
          <w:rFonts w:asciiTheme="minorHAnsi" w:hAnsiTheme="minorHAnsi" w:cstheme="minorHAnsi"/>
          <w:sz w:val="24"/>
          <w:szCs w:val="24"/>
        </w:rPr>
      </w:pPr>
      <w:r w:rsidRPr="00646B7A">
        <w:rPr>
          <w:rFonts w:asciiTheme="minorHAnsi" w:hAnsiTheme="minorHAnsi" w:cstheme="minorHAnsi"/>
          <w:sz w:val="24"/>
          <w:szCs w:val="24"/>
        </w:rPr>
        <w:t>Inter</w:t>
      </w:r>
      <w:bookmarkStart w:id="0" w:name="_GoBack"/>
      <w:bookmarkEnd w:id="0"/>
      <w:r w:rsidRPr="00646B7A">
        <w:rPr>
          <w:rFonts w:asciiTheme="minorHAnsi" w:hAnsiTheme="minorHAnsi" w:cstheme="minorHAnsi"/>
          <w:sz w:val="24"/>
          <w:szCs w:val="24"/>
        </w:rPr>
        <w:t>national human rights laws make it clear that all people have the same human rights, regardless of their ethnic or racial identity. However, ethnic inequality – the disadvantages felt by racial minority groups – persists across</w:t>
      </w:r>
      <w:r w:rsidR="00646B7A">
        <w:rPr>
          <w:rFonts w:asciiTheme="minorHAnsi" w:hAnsiTheme="minorHAnsi" w:cstheme="minorHAnsi"/>
          <w:sz w:val="24"/>
          <w:szCs w:val="24"/>
        </w:rPr>
        <w:t xml:space="preserve"> </w:t>
      </w:r>
      <w:r w:rsidRPr="00646B7A">
        <w:rPr>
          <w:rFonts w:asciiTheme="minorHAnsi" w:hAnsiTheme="minorHAnsi" w:cstheme="minorHAnsi"/>
          <w:sz w:val="24"/>
          <w:szCs w:val="24"/>
        </w:rPr>
        <w:t>the globe.</w:t>
      </w:r>
    </w:p>
    <w:p w:rsidR="00E1360B" w:rsidRPr="00646B7A" w:rsidRDefault="00E1360B" w:rsidP="00646B7A">
      <w:pPr>
        <w:pStyle w:val="BodyText"/>
        <w:spacing w:before="5"/>
        <w:jc w:val="both"/>
        <w:rPr>
          <w:rFonts w:asciiTheme="minorHAnsi" w:hAnsiTheme="minorHAnsi" w:cstheme="minorHAnsi"/>
          <w:sz w:val="24"/>
          <w:szCs w:val="24"/>
        </w:rPr>
      </w:pPr>
    </w:p>
    <w:p w:rsidR="00E1360B" w:rsidRPr="00646B7A" w:rsidRDefault="00E1360B" w:rsidP="00646B7A">
      <w:pPr>
        <w:pStyle w:val="Heading4"/>
        <w:spacing w:before="0"/>
        <w:ind w:left="0"/>
        <w:jc w:val="both"/>
        <w:rPr>
          <w:rFonts w:asciiTheme="minorHAnsi" w:hAnsiTheme="minorHAnsi" w:cstheme="minorHAnsi"/>
          <w:bCs w:val="0"/>
          <w:sz w:val="24"/>
          <w:szCs w:val="24"/>
        </w:rPr>
      </w:pPr>
      <w:r w:rsidRPr="00646B7A">
        <w:rPr>
          <w:rFonts w:asciiTheme="minorHAnsi" w:hAnsiTheme="minorHAnsi" w:cstheme="minorHAnsi"/>
          <w:bCs w:val="0"/>
          <w:sz w:val="24"/>
          <w:szCs w:val="24"/>
        </w:rPr>
        <w:t>Less developed countries</w:t>
      </w:r>
    </w:p>
    <w:p w:rsidR="00E1360B" w:rsidRPr="00646B7A" w:rsidRDefault="00E1360B" w:rsidP="00646B7A">
      <w:pPr>
        <w:pStyle w:val="BodyText"/>
        <w:spacing w:before="4"/>
        <w:jc w:val="both"/>
        <w:rPr>
          <w:rFonts w:asciiTheme="minorHAnsi" w:hAnsiTheme="minorHAnsi" w:cstheme="minorHAnsi"/>
          <w:sz w:val="24"/>
          <w:szCs w:val="24"/>
        </w:rPr>
      </w:pPr>
    </w:p>
    <w:p w:rsidR="00E1360B" w:rsidRPr="00646B7A" w:rsidRDefault="00E1360B" w:rsidP="00646B7A">
      <w:pPr>
        <w:pStyle w:val="BodyText"/>
        <w:spacing w:line="271" w:lineRule="auto"/>
        <w:ind w:right="668"/>
        <w:jc w:val="both"/>
        <w:rPr>
          <w:rFonts w:asciiTheme="minorHAnsi" w:hAnsiTheme="minorHAnsi" w:cstheme="minorHAnsi"/>
          <w:sz w:val="24"/>
          <w:szCs w:val="24"/>
        </w:rPr>
      </w:pPr>
      <w:r w:rsidRPr="00646B7A">
        <w:rPr>
          <w:rFonts w:asciiTheme="minorHAnsi" w:hAnsiTheme="minorHAnsi" w:cstheme="minorHAnsi"/>
          <w:sz w:val="24"/>
          <w:szCs w:val="24"/>
        </w:rPr>
        <w:t xml:space="preserve">Across the </w:t>
      </w:r>
      <w:proofErr w:type="gramStart"/>
      <w:r w:rsidRPr="00646B7A">
        <w:rPr>
          <w:rFonts w:asciiTheme="minorHAnsi" w:hAnsiTheme="minorHAnsi" w:cstheme="minorHAnsi"/>
          <w:sz w:val="24"/>
          <w:szCs w:val="24"/>
        </w:rPr>
        <w:t>world</w:t>
      </w:r>
      <w:proofErr w:type="gramEnd"/>
      <w:r w:rsidRPr="00646B7A">
        <w:rPr>
          <w:rFonts w:asciiTheme="minorHAnsi" w:hAnsiTheme="minorHAnsi" w:cstheme="minorHAnsi"/>
          <w:sz w:val="24"/>
          <w:szCs w:val="24"/>
        </w:rPr>
        <w:t xml:space="preserve"> there is a link between ethnicity and occupation, with certain jobs not only viewed as low status, but also lower paid and with fewer rewards. The Indian caste system is an example. While the caste system</w:t>
      </w:r>
      <w:r w:rsidR="00646B7A">
        <w:rPr>
          <w:rFonts w:asciiTheme="minorHAnsi" w:hAnsiTheme="minorHAnsi" w:cstheme="minorHAnsi"/>
          <w:sz w:val="24"/>
          <w:szCs w:val="24"/>
        </w:rPr>
        <w:t xml:space="preserve"> </w:t>
      </w:r>
      <w:r w:rsidRPr="00646B7A">
        <w:rPr>
          <w:rFonts w:asciiTheme="minorHAnsi" w:hAnsiTheme="minorHAnsi" w:cstheme="minorHAnsi"/>
          <w:sz w:val="24"/>
          <w:szCs w:val="24"/>
        </w:rPr>
        <w:t xml:space="preserve">has clearly changed over the past few decades – with the practice of extreme segregation associated with untouchability banned in 1950 – </w:t>
      </w:r>
      <w:proofErr w:type="spellStart"/>
      <w:r w:rsidRPr="00646B7A">
        <w:rPr>
          <w:rFonts w:asciiTheme="minorHAnsi" w:hAnsiTheme="minorHAnsi" w:cstheme="minorHAnsi"/>
          <w:sz w:val="24"/>
          <w:szCs w:val="24"/>
        </w:rPr>
        <w:t>Dalits</w:t>
      </w:r>
      <w:proofErr w:type="spellEnd"/>
      <w:r w:rsidRPr="00646B7A">
        <w:rPr>
          <w:rFonts w:asciiTheme="minorHAnsi" w:hAnsiTheme="minorHAnsi" w:cstheme="minorHAnsi"/>
          <w:sz w:val="24"/>
          <w:szCs w:val="24"/>
        </w:rPr>
        <w:t xml:space="preserve"> are still much more likely to clean toilets than other groups and very unlikely to cook for an upper caste Hindu.</w:t>
      </w:r>
    </w:p>
    <w:p w:rsidR="00E1360B" w:rsidRPr="00646B7A" w:rsidRDefault="00E1360B" w:rsidP="00646B7A">
      <w:pPr>
        <w:pStyle w:val="BodyText"/>
        <w:spacing w:before="170" w:line="271" w:lineRule="auto"/>
        <w:ind w:right="450"/>
        <w:jc w:val="both"/>
        <w:rPr>
          <w:rFonts w:asciiTheme="minorHAnsi" w:hAnsiTheme="minorHAnsi" w:cstheme="minorHAnsi"/>
          <w:sz w:val="24"/>
          <w:szCs w:val="24"/>
        </w:rPr>
      </w:pPr>
      <w:r w:rsidRPr="00646B7A">
        <w:rPr>
          <w:rFonts w:asciiTheme="minorHAnsi" w:hAnsiTheme="minorHAnsi" w:cstheme="minorHAnsi"/>
          <w:sz w:val="24"/>
          <w:szCs w:val="24"/>
        </w:rPr>
        <w:t xml:space="preserve">In India, while poverty in general is declining, poverty rates are generally higher for certain groups, namely </w:t>
      </w:r>
      <w:proofErr w:type="spellStart"/>
      <w:r w:rsidRPr="00646B7A">
        <w:rPr>
          <w:rFonts w:asciiTheme="minorHAnsi" w:hAnsiTheme="minorHAnsi" w:cstheme="minorHAnsi"/>
          <w:sz w:val="24"/>
          <w:szCs w:val="24"/>
        </w:rPr>
        <w:t>Adivasis</w:t>
      </w:r>
      <w:proofErr w:type="spellEnd"/>
      <w:r w:rsidRPr="00646B7A">
        <w:rPr>
          <w:rFonts w:asciiTheme="minorHAnsi" w:hAnsiTheme="minorHAnsi" w:cstheme="minorHAnsi"/>
          <w:sz w:val="24"/>
          <w:szCs w:val="24"/>
        </w:rPr>
        <w:t xml:space="preserve"> (or ‘tribal’ people, 45% of whom live in poverty in rural areas and 27% in urban areas), </w:t>
      </w:r>
      <w:proofErr w:type="spellStart"/>
      <w:r w:rsidRPr="00646B7A">
        <w:rPr>
          <w:rFonts w:asciiTheme="minorHAnsi" w:hAnsiTheme="minorHAnsi" w:cstheme="minorHAnsi"/>
          <w:sz w:val="24"/>
          <w:szCs w:val="24"/>
        </w:rPr>
        <w:t>Dalits</w:t>
      </w:r>
      <w:proofErr w:type="spellEnd"/>
      <w:r w:rsidRPr="00646B7A">
        <w:rPr>
          <w:rFonts w:asciiTheme="minorHAnsi" w:hAnsiTheme="minorHAnsi" w:cstheme="minorHAnsi"/>
          <w:sz w:val="24"/>
          <w:szCs w:val="24"/>
        </w:rPr>
        <w:t xml:space="preserve"> (former untouchables, 34% of whom live in rural poverty and 22% in urban poverty) and Muslims (27% rural, 23% urban). The poverty rates among upper caste Hindus for 2011/12 were just 16% in rural areas and 8% in urban areas.</w:t>
      </w:r>
    </w:p>
    <w:p w:rsidR="00E1360B" w:rsidRPr="00646B7A" w:rsidRDefault="00E1360B" w:rsidP="00646B7A">
      <w:pPr>
        <w:pStyle w:val="Heading4"/>
        <w:ind w:left="0"/>
        <w:jc w:val="both"/>
        <w:rPr>
          <w:rFonts w:asciiTheme="minorHAnsi" w:hAnsiTheme="minorHAnsi" w:cstheme="minorHAnsi"/>
          <w:bCs w:val="0"/>
          <w:sz w:val="24"/>
          <w:szCs w:val="24"/>
        </w:rPr>
      </w:pPr>
      <w:r w:rsidRPr="00646B7A">
        <w:rPr>
          <w:rFonts w:asciiTheme="minorHAnsi" w:hAnsiTheme="minorHAnsi" w:cstheme="minorHAnsi"/>
          <w:bCs w:val="0"/>
          <w:sz w:val="24"/>
          <w:szCs w:val="24"/>
        </w:rPr>
        <w:t>More developed countries</w:t>
      </w:r>
    </w:p>
    <w:p w:rsidR="00E1360B" w:rsidRPr="00646B7A" w:rsidRDefault="00E1360B" w:rsidP="00646B7A">
      <w:pPr>
        <w:pStyle w:val="BodyText"/>
        <w:spacing w:before="5"/>
        <w:jc w:val="both"/>
        <w:rPr>
          <w:rFonts w:asciiTheme="minorHAnsi" w:hAnsiTheme="minorHAnsi" w:cstheme="minorHAnsi"/>
          <w:sz w:val="24"/>
          <w:szCs w:val="24"/>
        </w:rPr>
      </w:pPr>
    </w:p>
    <w:p w:rsidR="00E1360B" w:rsidRPr="00646B7A" w:rsidRDefault="00E1360B" w:rsidP="00646B7A">
      <w:pPr>
        <w:pStyle w:val="BodyText"/>
        <w:spacing w:line="271" w:lineRule="auto"/>
        <w:ind w:right="601"/>
        <w:jc w:val="both"/>
        <w:rPr>
          <w:rFonts w:asciiTheme="minorHAnsi" w:hAnsiTheme="minorHAnsi" w:cstheme="minorHAnsi"/>
          <w:sz w:val="24"/>
          <w:szCs w:val="24"/>
        </w:rPr>
      </w:pPr>
      <w:r w:rsidRPr="00646B7A">
        <w:rPr>
          <w:rFonts w:asciiTheme="minorHAnsi" w:hAnsiTheme="minorHAnsi" w:cstheme="minorHAnsi"/>
          <w:sz w:val="24"/>
          <w:szCs w:val="24"/>
        </w:rPr>
        <w:t xml:space="preserve">The economic and political problems caused by ethnic inequality are also apparent in other countries. In most European countries, new migrants often work in insecure or even exploitative conditions, and in low-paid jobs that the native-born population may deem too </w:t>
      </w:r>
      <w:proofErr w:type="spellStart"/>
      <w:r w:rsidRPr="00646B7A">
        <w:rPr>
          <w:rFonts w:asciiTheme="minorHAnsi" w:hAnsiTheme="minorHAnsi" w:cstheme="minorHAnsi"/>
          <w:sz w:val="24"/>
          <w:szCs w:val="24"/>
        </w:rPr>
        <w:t>lowly</w:t>
      </w:r>
      <w:proofErr w:type="spellEnd"/>
      <w:r w:rsidRPr="00646B7A">
        <w:rPr>
          <w:rFonts w:asciiTheme="minorHAnsi" w:hAnsiTheme="minorHAnsi" w:cstheme="minorHAnsi"/>
          <w:sz w:val="24"/>
          <w:szCs w:val="24"/>
        </w:rPr>
        <w:t xml:space="preserve"> to perform.</w:t>
      </w:r>
    </w:p>
    <w:p w:rsidR="009F581B" w:rsidRPr="00646B7A" w:rsidRDefault="00E1360B" w:rsidP="00646B7A">
      <w:pPr>
        <w:pStyle w:val="BodyText"/>
        <w:spacing w:before="170" w:line="271" w:lineRule="auto"/>
        <w:ind w:right="564"/>
        <w:jc w:val="both"/>
        <w:rPr>
          <w:rFonts w:asciiTheme="minorHAnsi" w:hAnsiTheme="minorHAnsi" w:cstheme="minorHAnsi"/>
          <w:sz w:val="24"/>
          <w:szCs w:val="24"/>
        </w:rPr>
      </w:pPr>
      <w:r w:rsidRPr="00646B7A">
        <w:rPr>
          <w:rFonts w:asciiTheme="minorHAnsi" w:hAnsiTheme="minorHAnsi" w:cstheme="minorHAnsi"/>
          <w:sz w:val="24"/>
          <w:szCs w:val="24"/>
        </w:rPr>
        <w:t xml:space="preserve">We do know that in the UK there is a 12% employment gap between white British and ethnic minority people. This amounts to around 500,000 “missing” workers in the UK </w:t>
      </w:r>
      <w:proofErr w:type="spellStart"/>
      <w:r w:rsidRPr="00646B7A">
        <w:rPr>
          <w:rFonts w:asciiTheme="minorHAnsi" w:hAnsiTheme="minorHAnsi" w:cstheme="minorHAnsi"/>
          <w:sz w:val="24"/>
          <w:szCs w:val="24"/>
        </w:rPr>
        <w:t>labour</w:t>
      </w:r>
      <w:proofErr w:type="spellEnd"/>
      <w:r w:rsidRPr="00646B7A">
        <w:rPr>
          <w:rFonts w:asciiTheme="minorHAnsi" w:hAnsiTheme="minorHAnsi" w:cstheme="minorHAnsi"/>
          <w:sz w:val="24"/>
          <w:szCs w:val="24"/>
        </w:rPr>
        <w:t xml:space="preserve"> market. Figures from the Department for Work and Pensions show a jobless rate of 45% in 2013 for young black, Pakistani and Bangladeshi workers, with a figure</w:t>
      </w:r>
      <w:r w:rsidR="00646B7A">
        <w:rPr>
          <w:rFonts w:asciiTheme="minorHAnsi" w:hAnsiTheme="minorHAnsi" w:cstheme="minorHAnsi"/>
          <w:sz w:val="24"/>
          <w:szCs w:val="24"/>
        </w:rPr>
        <w:t xml:space="preserve"> </w:t>
      </w:r>
      <w:r w:rsidRPr="00646B7A">
        <w:rPr>
          <w:rFonts w:asciiTheme="minorHAnsi" w:hAnsiTheme="minorHAnsi" w:cstheme="minorHAnsi"/>
          <w:sz w:val="24"/>
          <w:szCs w:val="24"/>
        </w:rPr>
        <w:t>of 19% for white people. Other European countries are experiencing similar challenges, whether in terms of low wages and discrimination towards new migrants, or the continuing effects of this discrimination on second and now even third-generation European-born ethnic minorities.</w:t>
      </w:r>
    </w:p>
    <w:sectPr w:rsidR="009F581B" w:rsidRPr="00646B7A" w:rsidSect="00646B7A">
      <w:pgSz w:w="12240" w:h="15840"/>
      <w:pgMar w:top="1417" w:right="990" w:bottom="1417"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827" w:rsidRDefault="00C96827" w:rsidP="00646B7A">
      <w:pPr>
        <w:spacing w:after="0" w:line="240" w:lineRule="auto"/>
      </w:pPr>
      <w:r>
        <w:separator/>
      </w:r>
    </w:p>
  </w:endnote>
  <w:endnote w:type="continuationSeparator" w:id="0">
    <w:p w:rsidR="00C96827" w:rsidRDefault="00C96827" w:rsidP="00646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827" w:rsidRDefault="00C96827" w:rsidP="00646B7A">
      <w:pPr>
        <w:spacing w:after="0" w:line="240" w:lineRule="auto"/>
      </w:pPr>
      <w:r>
        <w:separator/>
      </w:r>
    </w:p>
  </w:footnote>
  <w:footnote w:type="continuationSeparator" w:id="0">
    <w:p w:rsidR="00C96827" w:rsidRDefault="00C96827" w:rsidP="00646B7A">
      <w:pPr>
        <w:spacing w:after="0" w:line="240" w:lineRule="auto"/>
      </w:pPr>
      <w:r>
        <w:continuationSeparator/>
      </w:r>
    </w:p>
  </w:footnote>
  <w:footnote w:id="1">
    <w:p w:rsidR="00646B7A" w:rsidRDefault="00646B7A" w:rsidP="009F060F">
      <w:pPr>
        <w:pStyle w:val="BodyText"/>
        <w:spacing w:before="174"/>
        <w:jc w:val="both"/>
      </w:pPr>
      <w:r>
        <w:rPr>
          <w:rStyle w:val="FootnoteReference"/>
        </w:rPr>
        <w:footnoteRef/>
      </w:r>
      <w:r>
        <w:t xml:space="preserve"> </w:t>
      </w:r>
      <w:r w:rsidRPr="009F060F">
        <w:rPr>
          <w:rFonts w:asciiTheme="minorHAnsi" w:hAnsiTheme="minorHAnsi" w:cstheme="minorHAnsi"/>
          <w:b/>
          <w:color w:val="3E3D40"/>
          <w:sz w:val="22"/>
          <w:szCs w:val="22"/>
        </w:rPr>
        <w:t>Source</w:t>
      </w:r>
      <w:r w:rsidRPr="009F060F">
        <w:rPr>
          <w:rFonts w:asciiTheme="minorHAnsi" w:hAnsiTheme="minorHAnsi" w:cstheme="minorHAnsi"/>
          <w:color w:val="3E3D40"/>
          <w:sz w:val="22"/>
          <w:szCs w:val="22"/>
        </w:rPr>
        <w:t xml:space="preserve">: Guardian </w:t>
      </w:r>
      <w:hyperlink r:id="rId1">
        <w:r w:rsidRPr="009F060F">
          <w:rPr>
            <w:rFonts w:asciiTheme="minorHAnsi" w:hAnsiTheme="minorHAnsi" w:cstheme="minorHAnsi"/>
            <w:color w:val="0084AD"/>
            <w:sz w:val="22"/>
            <w:szCs w:val="22"/>
          </w:rPr>
          <w:t xml:space="preserve">http://www.theguardian.com/public-leaders-network/2015/jan/20/ethnic-inequality </w:t>
        </w:r>
      </w:hyperlink>
      <w:r w:rsidRPr="009F060F">
        <w:rPr>
          <w:rFonts w:asciiTheme="minorHAnsi" w:hAnsiTheme="minorHAnsi" w:cstheme="minorHAnsi"/>
          <w:color w:val="0084AD"/>
          <w:sz w:val="22"/>
          <w:szCs w:val="22"/>
        </w:rPr>
        <w:t>widespread-global-economy</w:t>
      </w:r>
    </w:p>
    <w:p w:rsidR="00646B7A" w:rsidRDefault="00646B7A">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60B"/>
    <w:rsid w:val="00072F1A"/>
    <w:rsid w:val="00085AE5"/>
    <w:rsid w:val="002965E7"/>
    <w:rsid w:val="00646B7A"/>
    <w:rsid w:val="00693E3E"/>
    <w:rsid w:val="009F060F"/>
    <w:rsid w:val="009F581B"/>
    <w:rsid w:val="00C96827"/>
    <w:rsid w:val="00DC041C"/>
    <w:rsid w:val="00E1360B"/>
    <w:rsid w:val="00F60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7329D"/>
  <w15:chartTrackingRefBased/>
  <w15:docId w15:val="{A981184B-2638-434A-BAAF-B8854E1B3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E1360B"/>
    <w:pPr>
      <w:widowControl w:val="0"/>
      <w:autoSpaceDE w:val="0"/>
      <w:autoSpaceDN w:val="0"/>
      <w:spacing w:before="86" w:after="0" w:line="240" w:lineRule="auto"/>
      <w:ind w:left="390"/>
      <w:outlineLvl w:val="0"/>
    </w:pPr>
    <w:rPr>
      <w:rFonts w:ascii="Arial" w:eastAsia="Arial" w:hAnsi="Arial" w:cs="Arial"/>
      <w:sz w:val="44"/>
      <w:szCs w:val="44"/>
      <w:lang w:bidi="en-US"/>
    </w:rPr>
  </w:style>
  <w:style w:type="paragraph" w:styleId="Heading4">
    <w:name w:val="heading 4"/>
    <w:basedOn w:val="Normal"/>
    <w:link w:val="Heading4Char"/>
    <w:uiPriority w:val="1"/>
    <w:qFormat/>
    <w:rsid w:val="00E1360B"/>
    <w:pPr>
      <w:widowControl w:val="0"/>
      <w:autoSpaceDE w:val="0"/>
      <w:autoSpaceDN w:val="0"/>
      <w:spacing w:before="170" w:after="0" w:line="240" w:lineRule="auto"/>
      <w:ind w:left="390"/>
      <w:outlineLvl w:val="3"/>
    </w:pPr>
    <w:rPr>
      <w:rFonts w:ascii="Arial" w:eastAsia="Arial" w:hAnsi="Arial" w:cs="Arial"/>
      <w:b/>
      <w:bCs/>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1360B"/>
    <w:rPr>
      <w:rFonts w:ascii="Arial" w:eastAsia="Arial" w:hAnsi="Arial" w:cs="Arial"/>
      <w:sz w:val="44"/>
      <w:szCs w:val="44"/>
      <w:lang w:bidi="en-US"/>
    </w:rPr>
  </w:style>
  <w:style w:type="character" w:customStyle="1" w:styleId="Heading4Char">
    <w:name w:val="Heading 4 Char"/>
    <w:basedOn w:val="DefaultParagraphFont"/>
    <w:link w:val="Heading4"/>
    <w:uiPriority w:val="1"/>
    <w:rsid w:val="00E1360B"/>
    <w:rPr>
      <w:rFonts w:ascii="Arial" w:eastAsia="Arial" w:hAnsi="Arial" w:cs="Arial"/>
      <w:b/>
      <w:bCs/>
      <w:sz w:val="20"/>
      <w:szCs w:val="20"/>
      <w:lang w:bidi="en-US"/>
    </w:rPr>
  </w:style>
  <w:style w:type="paragraph" w:styleId="BodyText">
    <w:name w:val="Body Text"/>
    <w:basedOn w:val="Normal"/>
    <w:link w:val="BodyTextChar"/>
    <w:uiPriority w:val="1"/>
    <w:qFormat/>
    <w:rsid w:val="00E1360B"/>
    <w:pPr>
      <w:widowControl w:val="0"/>
      <w:autoSpaceDE w:val="0"/>
      <w:autoSpaceDN w:val="0"/>
      <w:spacing w:after="0" w:line="240" w:lineRule="auto"/>
    </w:pPr>
    <w:rPr>
      <w:rFonts w:ascii="Arial" w:eastAsia="Arial" w:hAnsi="Arial" w:cs="Arial"/>
      <w:sz w:val="20"/>
      <w:szCs w:val="20"/>
      <w:lang w:bidi="en-US"/>
    </w:rPr>
  </w:style>
  <w:style w:type="character" w:customStyle="1" w:styleId="BodyTextChar">
    <w:name w:val="Body Text Char"/>
    <w:basedOn w:val="DefaultParagraphFont"/>
    <w:link w:val="BodyText"/>
    <w:uiPriority w:val="1"/>
    <w:rsid w:val="00E1360B"/>
    <w:rPr>
      <w:rFonts w:ascii="Arial" w:eastAsia="Arial" w:hAnsi="Arial" w:cs="Arial"/>
      <w:sz w:val="20"/>
      <w:szCs w:val="20"/>
      <w:lang w:bidi="en-US"/>
    </w:rPr>
  </w:style>
  <w:style w:type="paragraph" w:styleId="FootnoteText">
    <w:name w:val="footnote text"/>
    <w:basedOn w:val="Normal"/>
    <w:link w:val="FootnoteTextChar"/>
    <w:uiPriority w:val="99"/>
    <w:semiHidden/>
    <w:unhideWhenUsed/>
    <w:rsid w:val="00646B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6B7A"/>
    <w:rPr>
      <w:sz w:val="20"/>
      <w:szCs w:val="20"/>
    </w:rPr>
  </w:style>
  <w:style w:type="character" w:styleId="FootnoteReference">
    <w:name w:val="footnote reference"/>
    <w:basedOn w:val="DefaultParagraphFont"/>
    <w:uiPriority w:val="99"/>
    <w:semiHidden/>
    <w:unhideWhenUsed/>
    <w:rsid w:val="00646B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theguardian.com/public-leaders-network/2015/jan/20/ethnic-inequ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1E9DA-3ED6-4311-9FFA-7F3B1F546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Stefanova</dc:creator>
  <cp:keywords/>
  <dc:description/>
  <cp:lastModifiedBy>Marina Stefanova</cp:lastModifiedBy>
  <cp:revision>4</cp:revision>
  <dcterms:created xsi:type="dcterms:W3CDTF">2020-01-06T19:24:00Z</dcterms:created>
  <dcterms:modified xsi:type="dcterms:W3CDTF">2020-01-06T19:33:00Z</dcterms:modified>
</cp:coreProperties>
</file>